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AC" w:rsidRDefault="00FD12AC" w:rsidP="00FD12AC">
      <w:r>
        <w:t>SAMMANFATTNING AV PRODUKTRESKRIFTER</w:t>
      </w:r>
    </w:p>
    <w:p w:rsidR="00FD12AC" w:rsidRDefault="00FD12AC" w:rsidP="00FD12AC">
      <w:r>
        <w:t>1. VETERINÄRMEDICINSK NAMN</w:t>
      </w:r>
      <w:r>
        <w:br/>
        <w:t>Z-</w:t>
      </w:r>
      <w:proofErr w:type="spellStart"/>
      <w:r>
        <w:t>Itch</w:t>
      </w:r>
      <w:proofErr w:type="spellEnd"/>
      <w:r>
        <w:t xml:space="preserve"> </w:t>
      </w:r>
      <w:bookmarkStart w:id="0" w:name="_GoBack"/>
      <w:bookmarkEnd w:id="0"/>
      <w:r>
        <w:br/>
        <w:t xml:space="preserve">40 </w:t>
      </w:r>
      <w:proofErr w:type="gramStart"/>
      <w:r>
        <w:t>mg / ml</w:t>
      </w:r>
      <w:proofErr w:type="gramEnd"/>
    </w:p>
    <w:p w:rsidR="00FD12AC" w:rsidRDefault="00FD12AC" w:rsidP="00FD12AC">
      <w:r>
        <w:t>2. KVALITATIV OCH KVANTITATIV SAMMANSÄTTNING</w:t>
      </w:r>
      <w:r>
        <w:br/>
        <w:t>Varje ml innehåller:</w:t>
      </w:r>
      <w:r>
        <w:br/>
        <w:t>Aktiv substans:</w:t>
      </w:r>
      <w:r>
        <w:br/>
      </w:r>
      <w:proofErr w:type="spellStart"/>
      <w:r>
        <w:t>Permetrin</w:t>
      </w:r>
      <w:proofErr w:type="spellEnd"/>
      <w:r>
        <w:t xml:space="preserve"> (80:20) teknisk 40,0 mg</w:t>
      </w:r>
    </w:p>
    <w:p w:rsidR="00FD12AC" w:rsidRDefault="00FD12AC" w:rsidP="00FD12AC">
      <w:r>
        <w:t>För fullständig förteckning över hjälpämnen, se avsnitt 6.1.</w:t>
      </w:r>
    </w:p>
    <w:p w:rsidR="00FD12AC" w:rsidRDefault="00FD12AC" w:rsidP="00FD12AC">
      <w:r>
        <w:t>3. LÄKEMEDELSFORM</w:t>
      </w:r>
      <w:r>
        <w:br/>
      </w:r>
      <w:r>
        <w:t>En klar, färglös till svagt gul, icke-vattenhaltig lösning.</w:t>
      </w:r>
    </w:p>
    <w:p w:rsidR="00FD12AC" w:rsidRDefault="00FD12AC" w:rsidP="00FD12AC">
      <w:r>
        <w:t>4. KLINISKA UPPGIFTER</w:t>
      </w:r>
    </w:p>
    <w:p w:rsidR="00FD12AC" w:rsidRDefault="00FD12AC" w:rsidP="00FD12AC">
      <w:r>
        <w:t>4.1</w:t>
      </w:r>
      <w:r>
        <w:t xml:space="preserve"> </w:t>
      </w:r>
      <w:proofErr w:type="spellStart"/>
      <w:r>
        <w:t>Målarter</w:t>
      </w:r>
      <w:proofErr w:type="spellEnd"/>
      <w:r>
        <w:br/>
        <w:t>Hästar och åsnor.</w:t>
      </w:r>
    </w:p>
    <w:p w:rsidR="00FD12AC" w:rsidRDefault="00FD12AC" w:rsidP="00FD12AC">
      <w:r>
        <w:t>4.2 Indikationer för använd</w:t>
      </w:r>
      <w:r>
        <w:t xml:space="preserve">ning, specificering av </w:t>
      </w:r>
      <w:proofErr w:type="spellStart"/>
      <w:r>
        <w:t>målarter</w:t>
      </w:r>
      <w:proofErr w:type="spellEnd"/>
      <w:r>
        <w:br/>
      </w:r>
      <w:r>
        <w:t xml:space="preserve">För kontroll av den bitande insekten </w:t>
      </w:r>
      <w:proofErr w:type="spellStart"/>
      <w:r>
        <w:t>Culicoides</w:t>
      </w:r>
      <w:proofErr w:type="spellEnd"/>
      <w:r>
        <w:t xml:space="preserve"> </w:t>
      </w:r>
      <w:proofErr w:type="spellStart"/>
      <w:r>
        <w:t>spp</w:t>
      </w:r>
      <w:proofErr w:type="spellEnd"/>
      <w:r>
        <w:t>. Denna produkt kan användas som ett hjäl</w:t>
      </w:r>
      <w:r>
        <w:t>pmedel vid sommareksem.</w:t>
      </w:r>
    </w:p>
    <w:p w:rsidR="00FD12AC" w:rsidRDefault="00FD12AC" w:rsidP="00FD12AC">
      <w:r>
        <w:t>4.3 Kontraindikationer</w:t>
      </w:r>
      <w:r>
        <w:br/>
      </w:r>
      <w:r>
        <w:t>Administreras inte till hästar och åsnor avse</w:t>
      </w:r>
      <w:r>
        <w:t>dda att användas som livsmedel.</w:t>
      </w:r>
      <w:r>
        <w:br/>
        <w:t>Behandla inte sadelområdet.</w:t>
      </w:r>
      <w:r>
        <w:br/>
      </w:r>
      <w:r>
        <w:t>Använd inte i kända fall överkänslighet mot den aktiva substansen eller mot något hjälpämne.</w:t>
      </w:r>
    </w:p>
    <w:p w:rsidR="00FD12AC" w:rsidRDefault="00FD12AC" w:rsidP="00FD12AC">
      <w:r>
        <w:t>4.4 Särsk</w:t>
      </w:r>
      <w:r>
        <w:t xml:space="preserve">ilda varningar för varje </w:t>
      </w:r>
      <w:proofErr w:type="spellStart"/>
      <w:r>
        <w:t>målart</w:t>
      </w:r>
      <w:proofErr w:type="spellEnd"/>
      <w:r>
        <w:br/>
        <w:t>Sommareksem/insektskänslighet</w:t>
      </w:r>
      <w:r>
        <w:t xml:space="preserve"> är troligen orsakad av överkänslighet mot bett av flygande insekter, t.ex. </w:t>
      </w:r>
      <w:proofErr w:type="spellStart"/>
      <w:r>
        <w:t>Culicoides</w:t>
      </w:r>
      <w:proofErr w:type="spellEnd"/>
      <w:r>
        <w:t xml:space="preserve"> arter. Förutom behandling bör andra åtgärder vidtas för att minska exponeringen för sådana insekter om det är praktiskt möjligt. Det kan vara lämpligt för ägarna att söka veterinärrådgivning om hantering av hästar med </w:t>
      </w:r>
      <w:r>
        <w:t>sommareksem/insektskänslighet</w:t>
      </w:r>
      <w:r>
        <w:t xml:space="preserve"> </w:t>
      </w:r>
      <w:r>
        <w:t xml:space="preserve">som </w:t>
      </w:r>
      <w:r>
        <w:t>kliar. Det rekommenderas också att ägarna söker veterinärrå</w:t>
      </w:r>
      <w:r>
        <w:t>dgivning i svåra fall av sommareksem/</w:t>
      </w:r>
      <w:proofErr w:type="spellStart"/>
      <w:r>
        <w:t>insektskänslighe</w:t>
      </w:r>
      <w:proofErr w:type="spellEnd"/>
      <w:r>
        <w:t>.</w:t>
      </w:r>
    </w:p>
    <w:p w:rsidR="00FD12AC" w:rsidRDefault="00FD12AC" w:rsidP="00FD12AC">
      <w:r>
        <w:t> </w:t>
      </w:r>
      <w:r>
        <w:t>4.5 Särskilda försi</w:t>
      </w:r>
      <w:r>
        <w:t>ktighetsåtgärder vid användning</w:t>
      </w:r>
      <w:r>
        <w:br/>
      </w:r>
      <w:r>
        <w:t>Särskilda försiktighetså</w:t>
      </w:r>
      <w:r>
        <w:t>tgärder vid användning hos djur</w:t>
      </w:r>
      <w:r>
        <w:br/>
        <w:t>Endast för extern användning.</w:t>
      </w:r>
      <w:r>
        <w:br/>
      </w:r>
      <w:r>
        <w:t xml:space="preserve">Produkten får </w:t>
      </w:r>
      <w:r>
        <w:t>inte appliceras framför öronen.</w:t>
      </w:r>
      <w:r>
        <w:br/>
      </w:r>
      <w:r>
        <w:t>Var försiktig för att undvika ögonkontakt.</w:t>
      </w:r>
    </w:p>
    <w:p w:rsidR="00FD12AC" w:rsidRDefault="00FD12AC" w:rsidP="00FD12AC">
      <w:r>
        <w:t>Vid oavsiktlig</w:t>
      </w:r>
      <w:r>
        <w:t>t</w:t>
      </w:r>
      <w:r>
        <w:t xml:space="preserve"> stänk i hästens öga ska det drabbade ögat tvättas noggrant och omedelbart med stora mängder rent vatten och veterinärmedicinsk uppmärksamhet.</w:t>
      </w:r>
    </w:p>
    <w:p w:rsidR="00FD12AC" w:rsidRDefault="00FD12AC" w:rsidP="00FD12AC">
      <w:r>
        <w:t>Särskilda försiktighetsåtgärder för den person som administrerar veterinär</w:t>
      </w:r>
      <w:r>
        <w:t>medicinska läkemedlet till djur</w:t>
      </w:r>
      <w:r>
        <w:br/>
      </w:r>
      <w:r>
        <w:t>Produkten kan orsaka övergående hud- och ögonirritation.</w:t>
      </w:r>
    </w:p>
    <w:p w:rsidR="00FD12AC" w:rsidRDefault="00FD12AC" w:rsidP="00FD12AC">
      <w:r>
        <w:t xml:space="preserve">Använd skyddskläder, stövlar och kemiskt resistenta handskar som gummi, PVC eller </w:t>
      </w:r>
      <w:proofErr w:type="spellStart"/>
      <w:r>
        <w:t>nitril</w:t>
      </w:r>
      <w:proofErr w:type="spellEnd"/>
      <w:r>
        <w:t xml:space="preserve"> vid applicering av produkten. Tvätta stänk omedelbart från hud och ögon.</w:t>
      </w:r>
    </w:p>
    <w:p w:rsidR="00FD12AC" w:rsidRDefault="00FD12AC" w:rsidP="00FD12AC">
      <w:r>
        <w:lastRenderedPageBreak/>
        <w:t>När du använder produkten ska du inte äta, dricka eller röka.</w:t>
      </w:r>
    </w:p>
    <w:p w:rsidR="00FD12AC" w:rsidRDefault="00FD12AC" w:rsidP="00FD12AC">
      <w:r>
        <w:t>Tvätta händer o</w:t>
      </w:r>
      <w:r>
        <w:t xml:space="preserve">ch exponerad hud innan du äter eller dricker </w:t>
      </w:r>
      <w:r>
        <w:t>och efter arbetet.</w:t>
      </w:r>
    </w:p>
    <w:p w:rsidR="00FD12AC" w:rsidRDefault="00FD12AC" w:rsidP="00FD12AC">
      <w:r>
        <w:t>Använd i väl ventilerat utrymme.</w:t>
      </w:r>
    </w:p>
    <w:p w:rsidR="00FD12AC" w:rsidRDefault="00FD12AC" w:rsidP="00FD12AC">
      <w:r>
        <w:t>Håll dig borta från mat, dryck och djurfoder.</w:t>
      </w:r>
    </w:p>
    <w:p w:rsidR="00FD12AC" w:rsidRDefault="00FD12AC" w:rsidP="00FD12AC">
      <w:r>
        <w:t>4.6 Biv</w:t>
      </w:r>
      <w:r>
        <w:t>erkningar (frekvens och allvar)</w:t>
      </w:r>
      <w:r>
        <w:br/>
      </w:r>
      <w:r>
        <w:t>Några hästar, i synnerhet de av den fina skinniga arabiska typen, kan reagera negativt på behandlingen med produkten. I sådana individer rekommenderas ett litet prov vid basen</w:t>
      </w:r>
      <w:r>
        <w:t xml:space="preserve"> av nacken. Om biverkningar </w:t>
      </w:r>
      <w:r>
        <w:t>uppstå</w:t>
      </w:r>
      <w:r>
        <w:t>r</w:t>
      </w:r>
      <w:r>
        <w:t xml:space="preserve"> ska behandlingen omedelbart stoppas. Eventuel</w:t>
      </w:r>
      <w:r>
        <w:t>la hudirritationer är kortvarande</w:t>
      </w:r>
      <w:r>
        <w:t>.</w:t>
      </w:r>
    </w:p>
    <w:p w:rsidR="00FD12AC" w:rsidRDefault="00FD12AC" w:rsidP="00FD12AC">
      <w:r>
        <w:t>Förfarande för provning</w:t>
      </w:r>
      <w:r>
        <w:br/>
      </w:r>
      <w:r>
        <w:t xml:space="preserve">Använd skyddshandskar </w:t>
      </w:r>
      <w:r>
        <w:t xml:space="preserve">och häll </w:t>
      </w:r>
      <w:r>
        <w:t xml:space="preserve">en liten mängd av produkten (ca 1 ml) till ett identifierbart område vid djurets nacke och gnugga på huden med en </w:t>
      </w:r>
      <w:r>
        <w:t>fuktig tvättsvamp</w:t>
      </w:r>
      <w:r>
        <w:t xml:space="preserve">. </w:t>
      </w:r>
      <w:r>
        <w:t xml:space="preserve">Kassera tvättsvampen och </w:t>
      </w:r>
      <w:r>
        <w:t>handskarna och på ett säkert sätt</w:t>
      </w:r>
      <w:r>
        <w:t xml:space="preserve"> efter användning</w:t>
      </w:r>
      <w:r>
        <w:t>. Vid 24 och 48 timmar efter appliceringen undersök det område som produkten applicerades och observera huden för tecken på rea</w:t>
      </w:r>
      <w:r>
        <w:t>ktion (rodnad, svullnad, flagning</w:t>
      </w:r>
      <w:r>
        <w:t xml:space="preserve"> eller utsöndring). Om en reaktion uppstår, a</w:t>
      </w:r>
      <w:r>
        <w:t>nvänd inte produkten på djuret.</w:t>
      </w:r>
    </w:p>
    <w:p w:rsidR="00FD12AC" w:rsidRDefault="00FD12AC" w:rsidP="00FD12AC">
      <w:r>
        <w:t>4.7 Användning under gr</w:t>
      </w:r>
      <w:r>
        <w:t>aviditet, amning eller läggning</w:t>
      </w:r>
      <w:r>
        <w:br/>
      </w:r>
      <w:r>
        <w:t>Inga särskilda försiktighetsåtgärder krävs.</w:t>
      </w:r>
    </w:p>
    <w:p w:rsidR="00FD12AC" w:rsidRDefault="00FD12AC" w:rsidP="00FD12AC">
      <w:r>
        <w:t>4.8 Interaktioner med andra lä</w:t>
      </w:r>
      <w:r>
        <w:t>kemedel och andra interaktioner</w:t>
      </w:r>
      <w:r>
        <w:br/>
      </w:r>
      <w:r>
        <w:t>Försiktighet bör vidtas vid applicering av produkten, eftersom den kan ha en negativ effekt på vissa plaster.</w:t>
      </w:r>
    </w:p>
    <w:p w:rsidR="00FD12AC" w:rsidRDefault="00FD12AC" w:rsidP="00FD12AC">
      <w:r>
        <w:t>4.9 Mängder som ska administreras oc</w:t>
      </w:r>
      <w:r>
        <w:t>h administreringsväg</w:t>
      </w:r>
      <w:r>
        <w:br/>
      </w:r>
      <w:r>
        <w:t xml:space="preserve">Hästar och åsnor: 4 </w:t>
      </w:r>
      <w:proofErr w:type="gramStart"/>
      <w:r>
        <w:t>mg / kg</w:t>
      </w:r>
      <w:proofErr w:type="gramEnd"/>
      <w:r>
        <w:t xml:space="preserve"> kroppsvikt, motsvara</w:t>
      </w:r>
      <w:r>
        <w:t>nde 1,0 ml per 10 kg kroppsvikt</w:t>
      </w:r>
      <w:r>
        <w:br/>
        <w:t>till högst 4</w:t>
      </w:r>
      <w:r>
        <w:t>0 ml.</w:t>
      </w:r>
    </w:p>
    <w:p w:rsidR="00FD12AC" w:rsidRDefault="00FD12AC" w:rsidP="00FD12AC">
      <w:r>
        <w:t>Doseringsriktlinjer</w:t>
      </w:r>
      <w:r>
        <w:br/>
      </w:r>
      <w:r>
        <w:t>Kropp</w:t>
      </w:r>
      <w:r>
        <w:t xml:space="preserve">svikt (kg) </w:t>
      </w:r>
      <w:r>
        <w:tab/>
        <w:t xml:space="preserve">100 </w:t>
      </w:r>
      <w:r>
        <w:tab/>
        <w:t xml:space="preserve">200 </w:t>
      </w:r>
      <w:r>
        <w:tab/>
        <w:t xml:space="preserve">250 </w:t>
      </w:r>
      <w:r>
        <w:tab/>
        <w:t xml:space="preserve">300&gt; </w:t>
      </w:r>
      <w:r>
        <w:tab/>
        <w:t>400</w:t>
      </w:r>
      <w:r>
        <w:br/>
      </w:r>
      <w:r>
        <w:t xml:space="preserve">Dosvolym (ml) </w:t>
      </w:r>
      <w:r>
        <w:tab/>
      </w:r>
      <w:r>
        <w:t xml:space="preserve">10 </w:t>
      </w:r>
      <w:r>
        <w:tab/>
      </w:r>
      <w:r>
        <w:t xml:space="preserve">20 </w:t>
      </w:r>
      <w:r>
        <w:tab/>
      </w:r>
      <w:r>
        <w:t xml:space="preserve">25 </w:t>
      </w:r>
      <w:r>
        <w:tab/>
      </w:r>
      <w:r>
        <w:t xml:space="preserve">30 </w:t>
      </w:r>
      <w:r>
        <w:tab/>
      </w:r>
      <w:r>
        <w:t>40</w:t>
      </w:r>
    </w:p>
    <w:p w:rsidR="00FD12AC" w:rsidRDefault="00FD12AC" w:rsidP="00FD12AC"/>
    <w:p w:rsidR="00FD12AC" w:rsidRDefault="00FD12AC" w:rsidP="00FD12AC">
      <w:r>
        <w:t>Applicera den uppmätta dosen i ungefär lika stora pro</w:t>
      </w:r>
      <w:r>
        <w:t>portioner till manen och rumpan. Undvik</w:t>
      </w:r>
      <w:r>
        <w:t xml:space="preserve"> sadelområdet. Behandlingen bör startas i </w:t>
      </w:r>
      <w:r>
        <w:t>början av den insektsperioden</w:t>
      </w:r>
      <w:r>
        <w:t xml:space="preserve"> och upprepas vid behov - behandling en gång i veckan ska vara ti</w:t>
      </w:r>
      <w:r>
        <w:t>llräcklig för de flesta hästar.</w:t>
      </w:r>
    </w:p>
    <w:p w:rsidR="00FD12AC" w:rsidRDefault="00FD12AC" w:rsidP="00FD12AC">
      <w:r>
        <w:t>Om hästar och åsnor ska prepareras, a</w:t>
      </w:r>
      <w:r>
        <w:t>nvänd produkten efter skötsel/rykt.</w:t>
      </w:r>
    </w:p>
    <w:p w:rsidR="00FD12AC" w:rsidRDefault="00FD12AC" w:rsidP="00FD12AC">
      <w:r>
        <w:t>4.10 Överdosering (symptom, akut</w:t>
      </w:r>
      <w:r>
        <w:t>a åtgärder, motgift), vid behov</w:t>
      </w:r>
      <w:r>
        <w:br/>
      </w:r>
      <w:r>
        <w:t xml:space="preserve">Giftiga tecken i däggdjur är </w:t>
      </w:r>
      <w:proofErr w:type="spellStart"/>
      <w:r>
        <w:t>tremor</w:t>
      </w:r>
      <w:proofErr w:type="spellEnd"/>
      <w:r>
        <w:t xml:space="preserve">, </w:t>
      </w:r>
      <w:proofErr w:type="spellStart"/>
      <w:r>
        <w:t>hyperexcitabilitet</w:t>
      </w:r>
      <w:proofErr w:type="spellEnd"/>
      <w:r>
        <w:t xml:space="preserve">, salivation, </w:t>
      </w:r>
      <w:proofErr w:type="spellStart"/>
      <w:r>
        <w:t>choreoathetos</w:t>
      </w:r>
      <w:proofErr w:type="spellEnd"/>
      <w:r>
        <w:t xml:space="preserve"> och förlamning. Tecknen försvinner snabbt och djuren återhämtar sig, vanligtvis</w:t>
      </w:r>
      <w:r>
        <w:t xml:space="preserve"> inom en vecka. Det finns inget specifikt</w:t>
      </w:r>
      <w:r>
        <w:t xml:space="preserve"> motgift men symptomatisk behandling kan ges om det anses nödvändigt.</w:t>
      </w:r>
    </w:p>
    <w:p w:rsidR="00FD12AC" w:rsidRDefault="00FD12AC" w:rsidP="00FD12AC">
      <w:r>
        <w:t>4.11 Återkallande period (er)</w:t>
      </w:r>
      <w:r>
        <w:br/>
      </w:r>
      <w:r>
        <w:t>Används inte hos hästar avse</w:t>
      </w:r>
      <w:r>
        <w:t>dda att användas som livsmedel.</w:t>
      </w:r>
      <w:r>
        <w:br/>
      </w:r>
      <w:r>
        <w:t>Behandlade hästar får aldrig slaktas för mänsklig konsumtion.</w:t>
      </w:r>
    </w:p>
    <w:p w:rsidR="00FD12AC" w:rsidRDefault="00FD12AC" w:rsidP="00FD12AC">
      <w:r>
        <w:lastRenderedPageBreak/>
        <w:t xml:space="preserve">Hästen måste ha deklarerats som inte avsedd att användas som livsmedel enligt </w:t>
      </w:r>
      <w:r>
        <w:t>nationell hästpasslagstiftning.</w:t>
      </w:r>
    </w:p>
    <w:p w:rsidR="00FD12AC" w:rsidRDefault="00FD12AC" w:rsidP="00FD12AC">
      <w:r>
        <w:t>5. FARMAKOLOGISKA EGENSKAPER</w:t>
      </w:r>
      <w:r>
        <w:br/>
      </w:r>
      <w:r>
        <w:t>Farmakotera</w:t>
      </w:r>
      <w:r>
        <w:t xml:space="preserve">peutisk grupp: </w:t>
      </w:r>
      <w:proofErr w:type="spellStart"/>
      <w:r>
        <w:t>Ektoparasiticid.</w:t>
      </w:r>
      <w:proofErr w:type="spellEnd"/>
      <w:r>
        <w:br/>
      </w:r>
      <w:proofErr w:type="spellStart"/>
      <w:r>
        <w:t>ATCvet</w:t>
      </w:r>
      <w:proofErr w:type="spellEnd"/>
      <w:r>
        <w:t>-kod: QP53AC04.</w:t>
      </w:r>
    </w:p>
    <w:p w:rsidR="00A2425D" w:rsidRDefault="00FD12AC" w:rsidP="00FD12AC">
      <w:r>
        <w:t>5.1 Farmakodynamiska egenskaper</w:t>
      </w:r>
      <w:r>
        <w:br/>
      </w:r>
      <w:proofErr w:type="spellStart"/>
      <w:r>
        <w:t>Permetrin</w:t>
      </w:r>
      <w:proofErr w:type="spellEnd"/>
      <w:r>
        <w:t xml:space="preserve"> är ett </w:t>
      </w:r>
      <w:proofErr w:type="spellStart"/>
      <w:r>
        <w:t>neurotoxin</w:t>
      </w:r>
      <w:proofErr w:type="spellEnd"/>
      <w:r>
        <w:t xml:space="preserve"> som påverkar </w:t>
      </w:r>
      <w:proofErr w:type="spellStart"/>
      <w:r>
        <w:t>axonen</w:t>
      </w:r>
      <w:proofErr w:type="spellEnd"/>
      <w:r>
        <w:t xml:space="preserve"> i </w:t>
      </w:r>
      <w:proofErr w:type="spellStart"/>
      <w:r>
        <w:t>insektets</w:t>
      </w:r>
      <w:proofErr w:type="spellEnd"/>
      <w:r>
        <w:t xml:space="preserve"> perifera och centrala nervsystemet genom interaktion med natriumkanaler.</w:t>
      </w:r>
    </w:p>
    <w:p w:rsidR="00FD12AC" w:rsidRDefault="00FD12AC" w:rsidP="00FD12AC">
      <w:r>
        <w:t>1819/5000</w:t>
      </w:r>
    </w:p>
    <w:p w:rsidR="00FD12AC" w:rsidRDefault="00FD12AC" w:rsidP="00FD12AC">
      <w:r>
        <w:t>5.2 Farmakokinetiska uppgifter</w:t>
      </w:r>
      <w:r>
        <w:br/>
      </w:r>
      <w:r>
        <w:t xml:space="preserve">Produkten är indicerad för </w:t>
      </w:r>
      <w:proofErr w:type="spellStart"/>
      <w:r>
        <w:t>kutan</w:t>
      </w:r>
      <w:proofErr w:type="spellEnd"/>
      <w:r>
        <w:t xml:space="preserve"> administrering. Efter </w:t>
      </w:r>
      <w:proofErr w:type="spellStart"/>
      <w:r>
        <w:t>topisk</w:t>
      </w:r>
      <w:proofErr w:type="spellEnd"/>
      <w:r>
        <w:t xml:space="preserve"> applicering på djuret fördelas lösningen över huden.</w:t>
      </w:r>
    </w:p>
    <w:p w:rsidR="00FD12AC" w:rsidRDefault="00FD12AC" w:rsidP="00FD12AC">
      <w:r>
        <w:t xml:space="preserve">Syntetiska </w:t>
      </w:r>
      <w:proofErr w:type="spellStart"/>
      <w:r>
        <w:t>pyretroider</w:t>
      </w:r>
      <w:proofErr w:type="spellEnd"/>
      <w:r>
        <w:t xml:space="preserve"> </w:t>
      </w:r>
      <w:proofErr w:type="spellStart"/>
      <w:r>
        <w:t>metaboliseras</w:t>
      </w:r>
      <w:proofErr w:type="spellEnd"/>
      <w:r>
        <w:t xml:space="preserve"> vanligtvis i däggdjur genom esterhydrolys, oxidation och konjugering och det finns ingen tendens till vävnadsackumulering.</w:t>
      </w:r>
    </w:p>
    <w:p w:rsidR="00FD12AC" w:rsidRDefault="00FD12AC" w:rsidP="00FD12AC">
      <w:r>
        <w:t>6. FARMACEUTISKA UPPGIFTER</w:t>
      </w:r>
    </w:p>
    <w:p w:rsidR="00FD12AC" w:rsidRDefault="00FD12AC" w:rsidP="00FD12AC">
      <w:r>
        <w:t>6.1 Förteckning över hjälpämnen</w:t>
      </w:r>
      <w:r>
        <w:br/>
      </w:r>
      <w:proofErr w:type="spellStart"/>
      <w:r>
        <w:t>Butyldioxitol</w:t>
      </w:r>
      <w:proofErr w:type="spellEnd"/>
      <w:r>
        <w:t>.</w:t>
      </w:r>
    </w:p>
    <w:p w:rsidR="00FD12AC" w:rsidRDefault="00FD12AC" w:rsidP="00FD12AC">
      <w:r>
        <w:t>6.2 Blandbarhet</w:t>
      </w:r>
      <w:r>
        <w:br/>
      </w:r>
      <w:r>
        <w:t>I avsaknad av kompatibilitetsstudier får detta veterinärmedicinska läkemedel inte blandas med andra veterinärmedicinska läkemedel</w:t>
      </w:r>
    </w:p>
    <w:p w:rsidR="00FD12AC" w:rsidRDefault="00FD12AC" w:rsidP="00FD12AC">
      <w:r>
        <w:t>6.3 Hållb</w:t>
      </w:r>
      <w:r>
        <w:t>arhet</w:t>
      </w:r>
      <w:r>
        <w:br/>
      </w:r>
      <w:proofErr w:type="spellStart"/>
      <w:r>
        <w:t>Hållbarhet</w:t>
      </w:r>
      <w:proofErr w:type="spellEnd"/>
      <w:r>
        <w:t xml:space="preserve"> för veterinärmedicinska läkemedlet</w:t>
      </w:r>
      <w:r>
        <w:t xml:space="preserve"> som förpackat till salu: 2 år.</w:t>
      </w:r>
      <w:r>
        <w:br/>
      </w:r>
    </w:p>
    <w:p w:rsidR="00FD12AC" w:rsidRDefault="00FD12AC" w:rsidP="00FD12AC">
      <w:r>
        <w:t>6,4. Särskilda förs</w:t>
      </w:r>
      <w:r>
        <w:t>iktighetsåtgärder vid förvaring</w:t>
      </w:r>
      <w:r>
        <w:br/>
        <w:t xml:space="preserve">Förvaras vid högst </w:t>
      </w:r>
      <w:proofErr w:type="gramStart"/>
      <w:r>
        <w:t>25 °</w:t>
      </w:r>
      <w:proofErr w:type="gramEnd"/>
      <w:r>
        <w:t xml:space="preserve"> C.</w:t>
      </w:r>
      <w:r>
        <w:br/>
      </w:r>
      <w:r>
        <w:t>Förvara i tätt sluten origina</w:t>
      </w:r>
      <w:r>
        <w:t>lbehållare på ett torrt ställe.</w:t>
      </w:r>
      <w:r>
        <w:br/>
      </w:r>
      <w:r>
        <w:t>Skydda mot ljus.</w:t>
      </w:r>
    </w:p>
    <w:p w:rsidR="00FD12AC" w:rsidRDefault="00FD12AC" w:rsidP="00FD12AC">
      <w:r>
        <w:t>6.5 Förpackni</w:t>
      </w:r>
      <w:r>
        <w:t>ngens art och sammansättning</w:t>
      </w:r>
      <w:r>
        <w:br/>
        <w:t>Behållarstorlek: 250 ml.</w:t>
      </w:r>
      <w:r>
        <w:br/>
      </w:r>
      <w:r>
        <w:t>Containermaterial: Natu</w:t>
      </w:r>
      <w:r>
        <w:t>rlig polyeten med hög densitet.</w:t>
      </w:r>
      <w:r>
        <w:br/>
      </w:r>
      <w:r>
        <w:t xml:space="preserve">Stängning: Vit </w:t>
      </w:r>
      <w:proofErr w:type="spellStart"/>
      <w:r>
        <w:t>polypropylen</w:t>
      </w:r>
      <w:proofErr w:type="spellEnd"/>
      <w:r>
        <w:t xml:space="preserve"> skruvf</w:t>
      </w:r>
      <w:r>
        <w:t>odral med induktionsförsegling.</w:t>
      </w:r>
      <w:r>
        <w:br/>
      </w:r>
      <w:r>
        <w:t>Doseringsanordning: Integrerad doseringskammare.</w:t>
      </w:r>
    </w:p>
    <w:p w:rsidR="00FD12AC" w:rsidRDefault="00FD12AC" w:rsidP="00FD12AC">
      <w:r>
        <w:t>6.6 Särskilda försiktighetsåtgärder vid bortskaffande av oanvänd veterinärmedicinskt läkemedel eller avfallsmaterial som härrör från användningen av sådana produkter</w:t>
      </w:r>
    </w:p>
    <w:p w:rsidR="00FD12AC" w:rsidRDefault="00FD12AC" w:rsidP="00FD12AC">
      <w:r>
        <w:t>Farligt för fisk och annat vattenlevande liv. Förorena inte dammar, vattenvägar eller diken med produkten eller den använda behållaren.</w:t>
      </w:r>
    </w:p>
    <w:p w:rsidR="00FD12AC" w:rsidRDefault="00FD12AC" w:rsidP="00FD12AC">
      <w:r>
        <w:t>Eventuellt oanvänd veterinärmedicinskt läkemedel eller avfallsmaterial som härrör från sådana veterinärmedicinska läkemedel ska kasseras i enlighet med lokala krav.</w:t>
      </w:r>
    </w:p>
    <w:p w:rsidR="00FD12AC" w:rsidRDefault="00FD12AC" w:rsidP="00FD12AC">
      <w:r>
        <w:t>7. INNEHAVARE AV GODKÄNNANDE FÖR FÖRSÄLJNING</w:t>
      </w:r>
    </w:p>
    <w:p w:rsidR="00FD12AC" w:rsidRDefault="00FD12AC" w:rsidP="00FD12AC"/>
    <w:p w:rsidR="00FD12AC" w:rsidRDefault="00FD12AC" w:rsidP="00FD12AC">
      <w:proofErr w:type="spellStart"/>
      <w:r>
        <w:t>Floris</w:t>
      </w:r>
      <w:proofErr w:type="spellEnd"/>
      <w:r>
        <w:t xml:space="preserve"> </w:t>
      </w:r>
      <w:proofErr w:type="spellStart"/>
      <w:r>
        <w:t>Veterinaire</w:t>
      </w:r>
      <w:proofErr w:type="spellEnd"/>
      <w:r>
        <w:t xml:space="preserve"> Produkten BV</w:t>
      </w:r>
      <w:r>
        <w:br/>
      </w:r>
      <w:proofErr w:type="spellStart"/>
      <w:r>
        <w:t>Kempenlandstraat</w:t>
      </w:r>
      <w:proofErr w:type="spellEnd"/>
      <w:r>
        <w:t xml:space="preserve"> 33/35</w:t>
      </w:r>
      <w:r>
        <w:br/>
        <w:t xml:space="preserve">5262 GK </w:t>
      </w:r>
      <w:proofErr w:type="spellStart"/>
      <w:r>
        <w:t>Vught</w:t>
      </w:r>
      <w:proofErr w:type="spellEnd"/>
      <w:r>
        <w:br/>
      </w:r>
      <w:r>
        <w:t>Nederländerna</w:t>
      </w:r>
    </w:p>
    <w:p w:rsidR="00FD12AC" w:rsidRDefault="00FD12AC" w:rsidP="00FD12AC">
      <w:r>
        <w:t>8. NUMMER</w:t>
      </w:r>
      <w:r>
        <w:t xml:space="preserve"> PÅ GODKÄNNANDE FÖR FÖRSÄLJNING</w:t>
      </w:r>
      <w:r>
        <w:br/>
      </w:r>
      <w:proofErr w:type="spellStart"/>
      <w:r>
        <w:t>Vm</w:t>
      </w:r>
      <w:proofErr w:type="spellEnd"/>
      <w:r>
        <w:t xml:space="preserve"> 36057/4000</w:t>
      </w:r>
    </w:p>
    <w:p w:rsidR="00FD12AC" w:rsidRDefault="00FD12AC" w:rsidP="00FD12AC">
      <w:r>
        <w:t>9. DATUM FÖR FÖRSTA GODKÄNNANDE</w:t>
      </w:r>
      <w:r>
        <w:br/>
      </w:r>
      <w:r>
        <w:t>27 januari 2011</w:t>
      </w:r>
    </w:p>
    <w:p w:rsidR="00FD12AC" w:rsidRDefault="00FD12AC" w:rsidP="00FD12AC">
      <w:r>
        <w:t>10. DATU</w:t>
      </w:r>
      <w:r>
        <w:t>M FÖR ÖVERSYN AV PRODUKTRESUMÉN</w:t>
      </w:r>
      <w:r>
        <w:br/>
      </w:r>
      <w:proofErr w:type="gramStart"/>
      <w:r>
        <w:t>Augusti</w:t>
      </w:r>
      <w:proofErr w:type="gramEnd"/>
      <w:r>
        <w:t xml:space="preserve"> 2016</w:t>
      </w:r>
    </w:p>
    <w:p w:rsidR="00FD12AC" w:rsidRDefault="00FD12AC" w:rsidP="00FD12AC"/>
    <w:sectPr w:rsidR="00FD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AC"/>
    <w:rsid w:val="00A2425D"/>
    <w:rsid w:val="00FD1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4BA51-99A0-4FC9-BD37-C3DB9179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3896">
      <w:bodyDiv w:val="1"/>
      <w:marLeft w:val="0"/>
      <w:marRight w:val="0"/>
      <w:marTop w:val="0"/>
      <w:marBottom w:val="0"/>
      <w:divBdr>
        <w:top w:val="none" w:sz="0" w:space="0" w:color="auto"/>
        <w:left w:val="none" w:sz="0" w:space="0" w:color="auto"/>
        <w:bottom w:val="none" w:sz="0" w:space="0" w:color="auto"/>
        <w:right w:val="none" w:sz="0" w:space="0" w:color="auto"/>
      </w:divBdr>
      <w:divsChild>
        <w:div w:id="1361398158">
          <w:marLeft w:val="0"/>
          <w:marRight w:val="0"/>
          <w:marTop w:val="0"/>
          <w:marBottom w:val="0"/>
          <w:divBdr>
            <w:top w:val="none" w:sz="0" w:space="0" w:color="auto"/>
            <w:left w:val="none" w:sz="0" w:space="0" w:color="auto"/>
            <w:bottom w:val="none" w:sz="0" w:space="0" w:color="auto"/>
            <w:right w:val="none" w:sz="0" w:space="0" w:color="auto"/>
          </w:divBdr>
          <w:divsChild>
            <w:div w:id="213389459">
              <w:marLeft w:val="0"/>
              <w:marRight w:val="60"/>
              <w:marTop w:val="0"/>
              <w:marBottom w:val="0"/>
              <w:divBdr>
                <w:top w:val="none" w:sz="0" w:space="0" w:color="auto"/>
                <w:left w:val="none" w:sz="0" w:space="0" w:color="auto"/>
                <w:bottom w:val="none" w:sz="0" w:space="0" w:color="auto"/>
                <w:right w:val="none" w:sz="0" w:space="0" w:color="auto"/>
              </w:divBdr>
              <w:divsChild>
                <w:div w:id="223029138">
                  <w:marLeft w:val="0"/>
                  <w:marRight w:val="0"/>
                  <w:marTop w:val="0"/>
                  <w:marBottom w:val="120"/>
                  <w:divBdr>
                    <w:top w:val="single" w:sz="6" w:space="0" w:color="C0C0C0"/>
                    <w:left w:val="single" w:sz="6" w:space="0" w:color="D9D9D9"/>
                    <w:bottom w:val="single" w:sz="6" w:space="0" w:color="D9D9D9"/>
                    <w:right w:val="single" w:sz="6" w:space="0" w:color="D9D9D9"/>
                  </w:divBdr>
                  <w:divsChild>
                    <w:div w:id="1580359648">
                      <w:marLeft w:val="0"/>
                      <w:marRight w:val="0"/>
                      <w:marTop w:val="0"/>
                      <w:marBottom w:val="0"/>
                      <w:divBdr>
                        <w:top w:val="none" w:sz="0" w:space="0" w:color="auto"/>
                        <w:left w:val="none" w:sz="0" w:space="0" w:color="auto"/>
                        <w:bottom w:val="none" w:sz="0" w:space="0" w:color="auto"/>
                        <w:right w:val="none" w:sz="0" w:space="0" w:color="auto"/>
                      </w:divBdr>
                    </w:div>
                    <w:div w:id="12558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7369">
          <w:marLeft w:val="0"/>
          <w:marRight w:val="0"/>
          <w:marTop w:val="0"/>
          <w:marBottom w:val="0"/>
          <w:divBdr>
            <w:top w:val="none" w:sz="0" w:space="0" w:color="auto"/>
            <w:left w:val="none" w:sz="0" w:space="0" w:color="auto"/>
            <w:bottom w:val="none" w:sz="0" w:space="0" w:color="auto"/>
            <w:right w:val="none" w:sz="0" w:space="0" w:color="auto"/>
          </w:divBdr>
          <w:divsChild>
            <w:div w:id="67240778">
              <w:marLeft w:val="60"/>
              <w:marRight w:val="0"/>
              <w:marTop w:val="0"/>
              <w:marBottom w:val="0"/>
              <w:divBdr>
                <w:top w:val="none" w:sz="0" w:space="0" w:color="auto"/>
                <w:left w:val="none" w:sz="0" w:space="0" w:color="auto"/>
                <w:bottom w:val="none" w:sz="0" w:space="0" w:color="auto"/>
                <w:right w:val="none" w:sz="0" w:space="0" w:color="auto"/>
              </w:divBdr>
              <w:divsChild>
                <w:div w:id="1204512832">
                  <w:marLeft w:val="0"/>
                  <w:marRight w:val="0"/>
                  <w:marTop w:val="0"/>
                  <w:marBottom w:val="0"/>
                  <w:divBdr>
                    <w:top w:val="none" w:sz="0" w:space="0" w:color="auto"/>
                    <w:left w:val="none" w:sz="0" w:space="0" w:color="auto"/>
                    <w:bottom w:val="none" w:sz="0" w:space="0" w:color="auto"/>
                    <w:right w:val="none" w:sz="0" w:space="0" w:color="auto"/>
                  </w:divBdr>
                  <w:divsChild>
                    <w:div w:id="1750341889">
                      <w:marLeft w:val="0"/>
                      <w:marRight w:val="0"/>
                      <w:marTop w:val="0"/>
                      <w:marBottom w:val="120"/>
                      <w:divBdr>
                        <w:top w:val="single" w:sz="6" w:space="0" w:color="F5F5F5"/>
                        <w:left w:val="single" w:sz="6" w:space="0" w:color="F5F5F5"/>
                        <w:bottom w:val="single" w:sz="6" w:space="0" w:color="F5F5F5"/>
                        <w:right w:val="single" w:sz="6" w:space="0" w:color="F5F5F5"/>
                      </w:divBdr>
                      <w:divsChild>
                        <w:div w:id="377358936">
                          <w:marLeft w:val="0"/>
                          <w:marRight w:val="0"/>
                          <w:marTop w:val="0"/>
                          <w:marBottom w:val="0"/>
                          <w:divBdr>
                            <w:top w:val="none" w:sz="0" w:space="0" w:color="auto"/>
                            <w:left w:val="none" w:sz="0" w:space="0" w:color="auto"/>
                            <w:bottom w:val="none" w:sz="0" w:space="0" w:color="auto"/>
                            <w:right w:val="none" w:sz="0" w:space="0" w:color="auto"/>
                          </w:divBdr>
                          <w:divsChild>
                            <w:div w:id="18143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1040</Words>
  <Characters>5518</Characters>
  <Application>Microsoft Office Word</Application>
  <DocSecurity>0</DocSecurity>
  <Lines>45</Lines>
  <Paragraphs>13</Paragraphs>
  <ScaleCrop>false</ScaleCrop>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2018-03-16T07:01:00Z</dcterms:created>
  <dcterms:modified xsi:type="dcterms:W3CDTF">2018-03-16T07:16:00Z</dcterms:modified>
</cp:coreProperties>
</file>